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0CF2" w14:textId="77777777" w:rsidR="00501E39" w:rsidRPr="00C37D31" w:rsidRDefault="00501E39" w:rsidP="00A24048">
      <w:pPr>
        <w:jc w:val="both"/>
        <w:rPr>
          <w:rFonts w:cs="Arial"/>
          <w:b/>
          <w:bCs/>
          <w:sz w:val="22"/>
          <w:szCs w:val="22"/>
        </w:rPr>
      </w:pPr>
      <w:r w:rsidRPr="00C37D31">
        <w:rPr>
          <w:rFonts w:cs="Arial"/>
          <w:noProof/>
          <w:sz w:val="22"/>
          <w:szCs w:val="22"/>
        </w:rPr>
        <w:drawing>
          <wp:anchor distT="0" distB="0" distL="114300" distR="114300" simplePos="0" relativeHeight="251658240" behindDoc="0" locked="0" layoutInCell="1" allowOverlap="1" wp14:anchorId="28F1200B" wp14:editId="066CBD20">
            <wp:simplePos x="0" y="0"/>
            <wp:positionH relativeFrom="margin">
              <wp:align>left</wp:align>
            </wp:positionH>
            <wp:positionV relativeFrom="paragraph">
              <wp:posOffset>0</wp:posOffset>
            </wp:positionV>
            <wp:extent cx="1073785" cy="1509395"/>
            <wp:effectExtent l="0" t="0" r="0" b="0"/>
            <wp:wrapSquare wrapText="bothSides"/>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3785" cy="1509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2451" w14:textId="64B302EE" w:rsidR="004A45B1" w:rsidRPr="008771DD" w:rsidRDefault="004A45B1" w:rsidP="00C37D31">
      <w:pPr>
        <w:widowControl/>
        <w:suppressAutoHyphens w:val="0"/>
        <w:jc w:val="center"/>
        <w:rPr>
          <w:rFonts w:eastAsia="Times New Roman" w:cs="Arial"/>
          <w:b/>
          <w:kern w:val="0"/>
          <w:sz w:val="72"/>
          <w:szCs w:val="72"/>
          <w:lang w:eastAsia="en-GB" w:bidi="ar-SA"/>
        </w:rPr>
      </w:pPr>
      <w:r w:rsidRPr="00C37D31">
        <w:rPr>
          <w:rFonts w:eastAsia="Times New Roman" w:cs="Arial"/>
          <w:b/>
          <w:kern w:val="0"/>
          <w:sz w:val="72"/>
          <w:szCs w:val="72"/>
          <w:lang w:eastAsia="en-GB" w:bidi="ar-SA"/>
        </w:rPr>
        <w:t>Scheme of</w:t>
      </w:r>
    </w:p>
    <w:p w14:paraId="45993676" w14:textId="79826BF2" w:rsidR="00501E39" w:rsidRPr="008771DD" w:rsidRDefault="004A45B1" w:rsidP="00C37D31">
      <w:pPr>
        <w:widowControl/>
        <w:suppressAutoHyphens w:val="0"/>
        <w:jc w:val="center"/>
        <w:rPr>
          <w:rFonts w:eastAsia="Times New Roman" w:cs="Arial"/>
          <w:b/>
          <w:kern w:val="0"/>
          <w:sz w:val="72"/>
          <w:szCs w:val="72"/>
          <w:lang w:eastAsia="en-GB" w:bidi="ar-SA"/>
        </w:rPr>
      </w:pPr>
      <w:r w:rsidRPr="008771DD">
        <w:rPr>
          <w:rFonts w:eastAsia="Times New Roman" w:cs="Arial"/>
          <w:b/>
          <w:kern w:val="0"/>
          <w:sz w:val="72"/>
          <w:szCs w:val="72"/>
          <w:lang w:eastAsia="en-GB" w:bidi="ar-SA"/>
        </w:rPr>
        <w:t xml:space="preserve">Delegation </w:t>
      </w:r>
      <w:r w:rsidR="00501E39" w:rsidRPr="008771DD">
        <w:rPr>
          <w:rFonts w:eastAsia="Times New Roman" w:cs="Arial"/>
          <w:b/>
          <w:kern w:val="0"/>
          <w:sz w:val="72"/>
          <w:szCs w:val="72"/>
          <w:lang w:eastAsia="en-GB" w:bidi="ar-SA"/>
        </w:rPr>
        <w:t>Policy</w:t>
      </w:r>
    </w:p>
    <w:p w14:paraId="21CB3877" w14:textId="77777777" w:rsidR="00501E39" w:rsidRPr="008771DD" w:rsidRDefault="00501E39" w:rsidP="00A24048">
      <w:pPr>
        <w:widowControl/>
        <w:suppressAutoHyphens w:val="0"/>
        <w:jc w:val="both"/>
        <w:rPr>
          <w:rFonts w:eastAsia="Times New Roman" w:cs="Arial"/>
          <w:kern w:val="0"/>
          <w:sz w:val="22"/>
          <w:szCs w:val="22"/>
          <w:lang w:eastAsia="en-GB" w:bidi="ar-SA"/>
        </w:rPr>
      </w:pPr>
    </w:p>
    <w:p w14:paraId="0C4200C7" w14:textId="77777777" w:rsidR="00501E39" w:rsidRPr="008771DD" w:rsidRDefault="00501E39" w:rsidP="00A24048">
      <w:pPr>
        <w:widowControl/>
        <w:suppressAutoHyphens w:val="0"/>
        <w:jc w:val="both"/>
        <w:rPr>
          <w:rFonts w:eastAsia="Times New Roman" w:cs="Arial"/>
          <w:kern w:val="0"/>
          <w:sz w:val="22"/>
          <w:szCs w:val="22"/>
          <w:lang w:eastAsia="en-GB" w:bidi="ar-SA"/>
        </w:rPr>
      </w:pPr>
    </w:p>
    <w:p w14:paraId="2F02F635" w14:textId="77777777" w:rsidR="00A24048" w:rsidRPr="008771DD" w:rsidRDefault="00A24048" w:rsidP="00A24048">
      <w:pPr>
        <w:widowControl/>
        <w:suppressAutoHyphens w:val="0"/>
        <w:jc w:val="both"/>
        <w:rPr>
          <w:rFonts w:eastAsia="Times New Roman" w:cs="Arial"/>
          <w:kern w:val="0"/>
          <w:sz w:val="22"/>
          <w:szCs w:val="22"/>
          <w:lang w:eastAsia="en-GB" w:bidi="ar-SA"/>
        </w:rPr>
      </w:pPr>
    </w:p>
    <w:tbl>
      <w:tblPr>
        <w:tblW w:w="9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
        <w:gridCol w:w="2435"/>
        <w:gridCol w:w="1985"/>
        <w:gridCol w:w="4001"/>
      </w:tblGrid>
      <w:tr w:rsidR="008771DD" w:rsidRPr="008771DD" w14:paraId="525BC487" w14:textId="77777777" w:rsidTr="00035320">
        <w:trPr>
          <w:jc w:val="center"/>
        </w:trPr>
        <w:tc>
          <w:tcPr>
            <w:tcW w:w="962" w:type="dxa"/>
            <w:shd w:val="clear" w:color="auto" w:fill="auto"/>
            <w:vAlign w:val="center"/>
          </w:tcPr>
          <w:p w14:paraId="5B249A13" w14:textId="77777777" w:rsidR="00501E39" w:rsidRPr="008771DD" w:rsidRDefault="00501E39" w:rsidP="00035320">
            <w:pPr>
              <w:widowControl/>
              <w:suppressAutoHyphens w:val="0"/>
              <w:jc w:val="center"/>
              <w:rPr>
                <w:rFonts w:eastAsia="Times New Roman" w:cs="Arial"/>
                <w:kern w:val="0"/>
                <w:sz w:val="22"/>
                <w:szCs w:val="22"/>
                <w:lang w:eastAsia="en-GB" w:bidi="ar-SA"/>
              </w:rPr>
            </w:pPr>
            <w:r w:rsidRPr="008771DD">
              <w:rPr>
                <w:rFonts w:eastAsia="Times New Roman" w:cs="Arial"/>
                <w:kern w:val="0"/>
                <w:sz w:val="22"/>
                <w:szCs w:val="22"/>
                <w:lang w:eastAsia="en-GB" w:bidi="ar-SA"/>
              </w:rPr>
              <w:t>Version</w:t>
            </w:r>
          </w:p>
        </w:tc>
        <w:tc>
          <w:tcPr>
            <w:tcW w:w="2435" w:type="dxa"/>
            <w:shd w:val="clear" w:color="auto" w:fill="auto"/>
            <w:vAlign w:val="center"/>
          </w:tcPr>
          <w:p w14:paraId="2637A531" w14:textId="77777777" w:rsidR="00501E39" w:rsidRPr="008771DD" w:rsidRDefault="00501E39" w:rsidP="00035320">
            <w:pPr>
              <w:widowControl/>
              <w:suppressAutoHyphens w:val="0"/>
              <w:jc w:val="center"/>
              <w:rPr>
                <w:rFonts w:eastAsia="Times New Roman" w:cs="Arial"/>
                <w:kern w:val="0"/>
                <w:sz w:val="22"/>
                <w:szCs w:val="22"/>
                <w:lang w:eastAsia="en-GB" w:bidi="ar-SA"/>
              </w:rPr>
            </w:pPr>
            <w:r w:rsidRPr="008771DD">
              <w:rPr>
                <w:rFonts w:eastAsia="Times New Roman" w:cs="Arial"/>
                <w:kern w:val="0"/>
                <w:sz w:val="22"/>
                <w:szCs w:val="22"/>
                <w:lang w:eastAsia="en-GB" w:bidi="ar-SA"/>
              </w:rPr>
              <w:t>Adopted Policy Date</w:t>
            </w:r>
          </w:p>
        </w:tc>
        <w:tc>
          <w:tcPr>
            <w:tcW w:w="1985" w:type="dxa"/>
            <w:shd w:val="clear" w:color="auto" w:fill="auto"/>
            <w:vAlign w:val="center"/>
          </w:tcPr>
          <w:p w14:paraId="3FC91DEB" w14:textId="77777777" w:rsidR="00501E39" w:rsidRPr="008771DD" w:rsidRDefault="00501E39" w:rsidP="00035320">
            <w:pPr>
              <w:widowControl/>
              <w:suppressAutoHyphens w:val="0"/>
              <w:jc w:val="center"/>
              <w:rPr>
                <w:rFonts w:eastAsia="Times New Roman" w:cs="Arial"/>
                <w:kern w:val="0"/>
                <w:sz w:val="22"/>
                <w:szCs w:val="22"/>
                <w:lang w:eastAsia="en-GB" w:bidi="ar-SA"/>
              </w:rPr>
            </w:pPr>
            <w:r w:rsidRPr="008771DD">
              <w:rPr>
                <w:rFonts w:eastAsia="Times New Roman" w:cs="Arial"/>
                <w:kern w:val="0"/>
                <w:sz w:val="22"/>
                <w:szCs w:val="22"/>
                <w:lang w:eastAsia="en-GB" w:bidi="ar-SA"/>
              </w:rPr>
              <w:t>Minute Reference</w:t>
            </w:r>
          </w:p>
        </w:tc>
        <w:tc>
          <w:tcPr>
            <w:tcW w:w="4001" w:type="dxa"/>
            <w:vAlign w:val="center"/>
          </w:tcPr>
          <w:p w14:paraId="218DA766" w14:textId="77777777" w:rsidR="00501E39" w:rsidRPr="008771DD" w:rsidRDefault="00501E39" w:rsidP="00035320">
            <w:pPr>
              <w:widowControl/>
              <w:suppressAutoHyphens w:val="0"/>
              <w:jc w:val="center"/>
              <w:rPr>
                <w:rFonts w:eastAsia="Times New Roman" w:cs="Arial"/>
                <w:kern w:val="0"/>
                <w:sz w:val="22"/>
                <w:szCs w:val="22"/>
                <w:lang w:eastAsia="en-GB" w:bidi="ar-SA"/>
              </w:rPr>
            </w:pPr>
            <w:r w:rsidRPr="008771DD">
              <w:rPr>
                <w:rFonts w:eastAsia="Times New Roman" w:cs="Arial"/>
                <w:kern w:val="0"/>
                <w:sz w:val="22"/>
                <w:szCs w:val="22"/>
                <w:lang w:eastAsia="en-GB" w:bidi="ar-SA"/>
              </w:rPr>
              <w:t>Review Date</w:t>
            </w:r>
          </w:p>
        </w:tc>
      </w:tr>
      <w:tr w:rsidR="00C37D31" w:rsidRPr="008771DD" w14:paraId="444512DA" w14:textId="77777777" w:rsidTr="00035320">
        <w:trPr>
          <w:jc w:val="center"/>
        </w:trPr>
        <w:tc>
          <w:tcPr>
            <w:tcW w:w="962" w:type="dxa"/>
            <w:shd w:val="clear" w:color="auto" w:fill="auto"/>
            <w:vAlign w:val="center"/>
          </w:tcPr>
          <w:p w14:paraId="258F4C08" w14:textId="51A20593" w:rsidR="00501E39" w:rsidRPr="008771DD" w:rsidRDefault="004A45B1" w:rsidP="00035320">
            <w:pPr>
              <w:widowControl/>
              <w:suppressAutoHyphens w:val="0"/>
              <w:jc w:val="center"/>
              <w:rPr>
                <w:rFonts w:eastAsia="Times New Roman" w:cs="Arial"/>
                <w:kern w:val="0"/>
                <w:sz w:val="22"/>
                <w:szCs w:val="22"/>
                <w:lang w:eastAsia="en-GB" w:bidi="ar-SA"/>
              </w:rPr>
            </w:pPr>
            <w:r w:rsidRPr="008771DD">
              <w:rPr>
                <w:rFonts w:eastAsia="Times New Roman" w:cs="Arial"/>
                <w:kern w:val="0"/>
                <w:sz w:val="22"/>
                <w:szCs w:val="22"/>
                <w:lang w:eastAsia="en-GB" w:bidi="ar-SA"/>
              </w:rPr>
              <w:t>1</w:t>
            </w:r>
          </w:p>
        </w:tc>
        <w:tc>
          <w:tcPr>
            <w:tcW w:w="2435" w:type="dxa"/>
            <w:shd w:val="clear" w:color="auto" w:fill="auto"/>
            <w:vAlign w:val="center"/>
          </w:tcPr>
          <w:p w14:paraId="05649258" w14:textId="4C2379A1" w:rsidR="00501E39" w:rsidRPr="008771DD" w:rsidRDefault="00501E39" w:rsidP="00035320">
            <w:pPr>
              <w:widowControl/>
              <w:suppressAutoHyphens w:val="0"/>
              <w:jc w:val="center"/>
              <w:rPr>
                <w:rFonts w:eastAsia="Times New Roman" w:cs="Arial"/>
                <w:kern w:val="0"/>
                <w:sz w:val="22"/>
                <w:szCs w:val="22"/>
                <w:lang w:eastAsia="en-GB" w:bidi="ar-SA"/>
              </w:rPr>
            </w:pPr>
          </w:p>
        </w:tc>
        <w:tc>
          <w:tcPr>
            <w:tcW w:w="1985" w:type="dxa"/>
            <w:shd w:val="clear" w:color="auto" w:fill="auto"/>
            <w:vAlign w:val="center"/>
          </w:tcPr>
          <w:p w14:paraId="7E4EFFB9" w14:textId="5EB11FF2" w:rsidR="00501E39" w:rsidRPr="008771DD" w:rsidRDefault="00501E39" w:rsidP="00035320">
            <w:pPr>
              <w:widowControl/>
              <w:suppressAutoHyphens w:val="0"/>
              <w:jc w:val="center"/>
              <w:rPr>
                <w:rFonts w:eastAsia="Times New Roman" w:cs="Arial"/>
                <w:kern w:val="0"/>
                <w:sz w:val="22"/>
                <w:szCs w:val="22"/>
                <w:lang w:eastAsia="en-GB" w:bidi="ar-SA"/>
              </w:rPr>
            </w:pPr>
          </w:p>
        </w:tc>
        <w:tc>
          <w:tcPr>
            <w:tcW w:w="4001" w:type="dxa"/>
            <w:vAlign w:val="center"/>
          </w:tcPr>
          <w:p w14:paraId="37B56088" w14:textId="7EB77284" w:rsidR="00501E39" w:rsidRPr="008771DD" w:rsidRDefault="00501E39" w:rsidP="00035320">
            <w:pPr>
              <w:widowControl/>
              <w:suppressAutoHyphens w:val="0"/>
              <w:jc w:val="center"/>
              <w:rPr>
                <w:rFonts w:eastAsia="Times New Roman" w:cs="Arial"/>
                <w:kern w:val="0"/>
                <w:sz w:val="22"/>
                <w:szCs w:val="22"/>
                <w:lang w:eastAsia="en-GB" w:bidi="ar-SA"/>
              </w:rPr>
            </w:pPr>
          </w:p>
        </w:tc>
      </w:tr>
    </w:tbl>
    <w:p w14:paraId="618B7181" w14:textId="04AE6706" w:rsidR="004A45B1" w:rsidRPr="008771DD" w:rsidRDefault="004A45B1" w:rsidP="00A24048">
      <w:pPr>
        <w:jc w:val="both"/>
        <w:rPr>
          <w:rFonts w:cs="Arial"/>
          <w:sz w:val="22"/>
          <w:szCs w:val="22"/>
        </w:rPr>
      </w:pPr>
    </w:p>
    <w:p w14:paraId="520A9520" w14:textId="77777777" w:rsidR="00F873C7" w:rsidRDefault="00F873C7" w:rsidP="001B0AA2"/>
    <w:p w14:paraId="0E6CBBE3" w14:textId="5DB05DC7" w:rsidR="001B0AA2" w:rsidRDefault="001B0AA2" w:rsidP="001B0AA2">
      <w:r w:rsidRPr="0090727C">
        <w:t>Officers may only exercise the delegated powers in this scheme in accordance with:</w:t>
      </w:r>
    </w:p>
    <w:p w14:paraId="76553DE1" w14:textId="77777777" w:rsidR="00F873C7" w:rsidRDefault="00F873C7" w:rsidP="001B0AA2"/>
    <w:p w14:paraId="0703B146" w14:textId="02E6F6CB" w:rsidR="001B0AA2" w:rsidRPr="0090727C" w:rsidRDefault="001B0AA2" w:rsidP="00234E06">
      <w:pPr>
        <w:pStyle w:val="ListParagraph"/>
        <w:numPr>
          <w:ilvl w:val="0"/>
          <w:numId w:val="4"/>
        </w:numPr>
      </w:pPr>
      <w:r w:rsidRPr="0090727C">
        <w:t xml:space="preserve">statutory or other legal requirements, including the principles of public law, the Human Rights Act 1998 (as amended), statutory guidance and statutory codes of </w:t>
      </w:r>
      <w:proofErr w:type="gramStart"/>
      <w:r w:rsidRPr="0090727C">
        <w:t>practice;</w:t>
      </w:r>
      <w:proofErr w:type="gramEnd"/>
    </w:p>
    <w:p w14:paraId="2C3E16C0" w14:textId="3A2E9DC8" w:rsidR="001B0AA2" w:rsidRPr="0090727C" w:rsidRDefault="001B0AA2" w:rsidP="00234E06">
      <w:pPr>
        <w:pStyle w:val="ListParagraph"/>
        <w:numPr>
          <w:ilvl w:val="0"/>
          <w:numId w:val="4"/>
        </w:numPr>
      </w:pPr>
      <w:r w:rsidRPr="0090727C">
        <w:t>the Constitution of the Council, including standing orders, contract standing orders and</w:t>
      </w:r>
      <w:r>
        <w:t xml:space="preserve"> </w:t>
      </w:r>
      <w:r w:rsidRPr="0090727C">
        <w:t xml:space="preserve">financial </w:t>
      </w:r>
      <w:proofErr w:type="gramStart"/>
      <w:r w:rsidRPr="0090727C">
        <w:t>regulations;</w:t>
      </w:r>
      <w:proofErr w:type="gramEnd"/>
    </w:p>
    <w:p w14:paraId="226F4BD3" w14:textId="0F20015F" w:rsidR="001B0AA2" w:rsidRPr="0090727C" w:rsidRDefault="001B0AA2" w:rsidP="00234E06">
      <w:pPr>
        <w:pStyle w:val="ListParagraph"/>
        <w:numPr>
          <w:ilvl w:val="0"/>
          <w:numId w:val="4"/>
        </w:numPr>
      </w:pPr>
      <w:r w:rsidRPr="0090727C">
        <w:t xml:space="preserve">the revenue and capital budgets of the Council, subject to any variation thereof which is permitted by the Council’s Financial </w:t>
      </w:r>
      <w:proofErr w:type="gramStart"/>
      <w:r w:rsidRPr="0090727C">
        <w:t>Regulations;</w:t>
      </w:r>
      <w:proofErr w:type="gramEnd"/>
    </w:p>
    <w:p w14:paraId="22BCA536" w14:textId="5C430F04" w:rsidR="001B0AA2" w:rsidRDefault="001B0AA2" w:rsidP="00234E06">
      <w:pPr>
        <w:pStyle w:val="ListParagraph"/>
        <w:numPr>
          <w:ilvl w:val="0"/>
          <w:numId w:val="4"/>
        </w:numPr>
      </w:pPr>
      <w:r w:rsidRPr="0090727C">
        <w:t>consideration of the Council’s policies.</w:t>
      </w:r>
    </w:p>
    <w:p w14:paraId="52A233EE" w14:textId="77777777" w:rsidR="0039379A" w:rsidRDefault="0039379A" w:rsidP="0039379A">
      <w:pPr>
        <w:pStyle w:val="ListParagraph"/>
      </w:pPr>
    </w:p>
    <w:p w14:paraId="5E34706D" w14:textId="77777777" w:rsidR="0039379A" w:rsidRDefault="0039379A" w:rsidP="0039379A">
      <w:pPr>
        <w:pStyle w:val="ListParagraph"/>
      </w:pPr>
    </w:p>
    <w:p w14:paraId="7E4FE0BA" w14:textId="77777777" w:rsidR="0039379A" w:rsidRDefault="0039379A" w:rsidP="0039379A">
      <w:r w:rsidRPr="0090727C">
        <w:t>Officers may not exercise delegated powers where:</w:t>
      </w:r>
    </w:p>
    <w:p w14:paraId="596D4192" w14:textId="77777777" w:rsidR="0039379A" w:rsidRPr="0090727C" w:rsidRDefault="0039379A" w:rsidP="0039379A"/>
    <w:p w14:paraId="4F795D92" w14:textId="77777777" w:rsidR="0039379A" w:rsidRPr="0090727C" w:rsidRDefault="0039379A" w:rsidP="0039379A">
      <w:pPr>
        <w:pStyle w:val="ListParagraph"/>
        <w:numPr>
          <w:ilvl w:val="0"/>
          <w:numId w:val="6"/>
        </w:numPr>
      </w:pPr>
      <w:r w:rsidRPr="0090727C">
        <w:t xml:space="preserve">the matter is reserved to the Council or the executive by law or by the Council’s </w:t>
      </w:r>
      <w:proofErr w:type="gramStart"/>
      <w:r w:rsidRPr="0090727C">
        <w:t>Constitution;</w:t>
      </w:r>
      <w:proofErr w:type="gramEnd"/>
    </w:p>
    <w:p w14:paraId="7E079A94" w14:textId="77777777" w:rsidR="0039379A" w:rsidRPr="0090727C" w:rsidRDefault="0039379A" w:rsidP="0039379A">
      <w:pPr>
        <w:pStyle w:val="ListParagraph"/>
        <w:numPr>
          <w:ilvl w:val="0"/>
          <w:numId w:val="6"/>
        </w:numPr>
      </w:pPr>
      <w:r w:rsidRPr="0090727C">
        <w:t xml:space="preserve">the matter is a function which cannot by law be discharged by an </w:t>
      </w:r>
      <w:proofErr w:type="gramStart"/>
      <w:r w:rsidRPr="0090727C">
        <w:t>officer;</w:t>
      </w:r>
      <w:proofErr w:type="gramEnd"/>
    </w:p>
    <w:p w14:paraId="04C2193A" w14:textId="50B9757D" w:rsidR="00620D9A" w:rsidRDefault="0039379A" w:rsidP="0039379A">
      <w:pPr>
        <w:pStyle w:val="ListParagraph"/>
        <w:numPr>
          <w:ilvl w:val="0"/>
          <w:numId w:val="6"/>
        </w:numPr>
      </w:pPr>
      <w:r w:rsidRPr="0090727C">
        <w:t>the Council, a committee or sub-committee has determined that the matter should be discharged otherwise than by an officer</w:t>
      </w:r>
    </w:p>
    <w:p w14:paraId="569316AB" w14:textId="77777777" w:rsidR="0078435C" w:rsidRDefault="0078435C" w:rsidP="0078435C"/>
    <w:p w14:paraId="0257E24C" w14:textId="77777777" w:rsidR="0078435C" w:rsidRDefault="0078435C" w:rsidP="0078435C">
      <w:pPr>
        <w:jc w:val="both"/>
        <w:rPr>
          <w:rFonts w:cs="Arial"/>
        </w:rPr>
      </w:pPr>
      <w:r w:rsidRPr="008771DD">
        <w:rPr>
          <w:rFonts w:cs="Arial"/>
        </w:rPr>
        <w:t xml:space="preserve">Actions of the Clerk and RFO include: </w:t>
      </w:r>
    </w:p>
    <w:p w14:paraId="00911E5B" w14:textId="77777777" w:rsidR="0078435C" w:rsidRPr="008771DD" w:rsidRDefault="0078435C" w:rsidP="0078435C">
      <w:pPr>
        <w:jc w:val="both"/>
        <w:rPr>
          <w:rFonts w:cs="Arial"/>
        </w:rPr>
      </w:pPr>
    </w:p>
    <w:p w14:paraId="5A464AFF" w14:textId="77777777" w:rsidR="0078435C" w:rsidRDefault="0078435C" w:rsidP="0078435C">
      <w:pPr>
        <w:pStyle w:val="Heading1"/>
        <w:jc w:val="both"/>
        <w:rPr>
          <w:rFonts w:ascii="Arial" w:eastAsiaTheme="minorHAnsi" w:hAnsi="Arial" w:cs="Arial"/>
          <w:b/>
          <w:bCs/>
          <w:color w:val="auto"/>
          <w:sz w:val="24"/>
          <w:szCs w:val="24"/>
          <w:lang w:eastAsia="en-US" w:bidi="ar-SA"/>
        </w:rPr>
      </w:pPr>
      <w:r w:rsidRPr="008771DD">
        <w:rPr>
          <w:rFonts w:ascii="Arial" w:eastAsiaTheme="minorHAnsi" w:hAnsi="Arial" w:cs="Arial"/>
          <w:b/>
          <w:bCs/>
          <w:color w:val="auto"/>
          <w:sz w:val="24"/>
          <w:szCs w:val="24"/>
          <w:lang w:eastAsia="en-US" w:bidi="ar-SA"/>
        </w:rPr>
        <w:t>Responsible Financial Officer</w:t>
      </w:r>
    </w:p>
    <w:p w14:paraId="55B8037A" w14:textId="77777777" w:rsidR="0078435C" w:rsidRPr="00234E06" w:rsidRDefault="0078435C" w:rsidP="0078435C">
      <w:pPr>
        <w:rPr>
          <w:lang w:eastAsia="en-US" w:bidi="ar-SA"/>
        </w:rPr>
      </w:pPr>
    </w:p>
    <w:p w14:paraId="0F6A4D2B" w14:textId="77777777" w:rsidR="0078435C" w:rsidRDefault="0078435C" w:rsidP="0078435C">
      <w:pPr>
        <w:pStyle w:val="Heading2"/>
        <w:widowControl/>
        <w:suppressAutoHyphens w:val="0"/>
        <w:autoSpaceDE w:val="0"/>
        <w:autoSpaceDN w:val="0"/>
        <w:adjustRightInd w:val="0"/>
        <w:jc w:val="both"/>
        <w:rPr>
          <w:rFonts w:ascii="Arial" w:eastAsiaTheme="minorHAnsi" w:hAnsi="Arial" w:cs="Arial"/>
          <w:color w:val="auto"/>
          <w:kern w:val="0"/>
          <w:sz w:val="24"/>
          <w:szCs w:val="24"/>
          <w:lang w:eastAsia="en-US" w:bidi="ar-SA"/>
        </w:rPr>
      </w:pPr>
      <w:r w:rsidRPr="008771DD">
        <w:rPr>
          <w:rFonts w:ascii="Arial" w:eastAsiaTheme="minorHAnsi" w:hAnsi="Arial" w:cs="Arial"/>
          <w:color w:val="auto"/>
          <w:kern w:val="0"/>
          <w:sz w:val="24"/>
          <w:szCs w:val="24"/>
          <w:lang w:eastAsia="en-US" w:bidi="ar-SA"/>
        </w:rPr>
        <w:t>The Council’s accounting procedures in accordance with the Accounts and Audit Regulations in force at any given time.</w:t>
      </w:r>
    </w:p>
    <w:p w14:paraId="1B326E41" w14:textId="77777777" w:rsidR="0078435C" w:rsidRDefault="0078435C" w:rsidP="0078435C"/>
    <w:p w14:paraId="70C59843" w14:textId="77777777" w:rsidR="0078435C" w:rsidRDefault="0078435C" w:rsidP="0078435C"/>
    <w:p w14:paraId="32D71A8E" w14:textId="77777777" w:rsidR="0078435C" w:rsidRDefault="0078435C" w:rsidP="0078435C"/>
    <w:p w14:paraId="234B5321" w14:textId="77777777" w:rsidR="0078435C" w:rsidRDefault="0078435C" w:rsidP="0078435C"/>
    <w:p w14:paraId="51E90671" w14:textId="77777777" w:rsidR="0078435C" w:rsidRDefault="0078435C" w:rsidP="0078435C"/>
    <w:p w14:paraId="35187EC2" w14:textId="77777777" w:rsidR="0078435C" w:rsidRDefault="0078435C" w:rsidP="0078435C"/>
    <w:p w14:paraId="7AA51332" w14:textId="77777777" w:rsidR="0078435C" w:rsidRDefault="0078435C" w:rsidP="0078435C"/>
    <w:p w14:paraId="547ED1E9" w14:textId="77777777" w:rsidR="0078435C" w:rsidRDefault="0078435C" w:rsidP="0078435C"/>
    <w:p w14:paraId="7B8FFB46" w14:textId="77777777" w:rsidR="0078435C" w:rsidRDefault="0078435C" w:rsidP="0078435C"/>
    <w:p w14:paraId="02C7C980" w14:textId="77777777" w:rsidR="0078435C" w:rsidRDefault="0078435C" w:rsidP="0078435C"/>
    <w:p w14:paraId="1C54744F" w14:textId="6E42EC33" w:rsidR="00E814E9" w:rsidRPr="008771DD" w:rsidRDefault="00E814E9" w:rsidP="00C37D31">
      <w:pPr>
        <w:pStyle w:val="Heading1"/>
        <w:jc w:val="both"/>
        <w:rPr>
          <w:rFonts w:ascii="Arial" w:eastAsiaTheme="minorHAnsi" w:hAnsi="Arial" w:cs="Arial"/>
          <w:b/>
          <w:bCs/>
          <w:color w:val="auto"/>
          <w:sz w:val="24"/>
          <w:szCs w:val="24"/>
          <w:lang w:eastAsia="en-US" w:bidi="ar-SA"/>
        </w:rPr>
      </w:pPr>
      <w:r w:rsidRPr="008771DD">
        <w:rPr>
          <w:rFonts w:ascii="Arial" w:eastAsiaTheme="minorHAnsi" w:hAnsi="Arial" w:cs="Arial"/>
          <w:b/>
          <w:bCs/>
          <w:color w:val="auto"/>
          <w:sz w:val="24"/>
          <w:szCs w:val="24"/>
          <w:lang w:eastAsia="en-US" w:bidi="ar-SA"/>
        </w:rPr>
        <w:lastRenderedPageBreak/>
        <w:t>Proper Officer</w:t>
      </w:r>
    </w:p>
    <w:p w14:paraId="7748602A" w14:textId="77777777" w:rsidR="00302800" w:rsidRPr="008771DD" w:rsidRDefault="00302800" w:rsidP="00C37D31">
      <w:pPr>
        <w:jc w:val="both"/>
        <w:rPr>
          <w:rFonts w:cs="Arial"/>
          <w:lang w:eastAsia="en-US" w:bidi="ar-SA"/>
        </w:rPr>
      </w:pPr>
    </w:p>
    <w:p w14:paraId="3C63FAE6" w14:textId="1DA8CC30" w:rsidR="00E814E9" w:rsidRDefault="00E814E9" w:rsidP="00C37D31">
      <w:pPr>
        <w:widowControl/>
        <w:suppressAutoHyphens w:val="0"/>
        <w:autoSpaceDE w:val="0"/>
        <w:autoSpaceDN w:val="0"/>
        <w:adjustRightInd w:val="0"/>
        <w:jc w:val="both"/>
        <w:rPr>
          <w:rFonts w:eastAsiaTheme="minorHAnsi" w:cs="Arial"/>
          <w:kern w:val="0"/>
          <w:lang w:eastAsia="en-US" w:bidi="ar-SA"/>
        </w:rPr>
      </w:pPr>
      <w:r w:rsidRPr="008771DD">
        <w:rPr>
          <w:rFonts w:eastAsiaTheme="minorHAnsi" w:cs="Arial"/>
          <w:kern w:val="0"/>
          <w:lang w:eastAsia="en-US" w:bidi="ar-SA"/>
        </w:rPr>
        <w:t>The Clerk shall be the Proper Officer of the Council and is</w:t>
      </w:r>
      <w:r w:rsidR="00EE427D" w:rsidRPr="008771DD">
        <w:rPr>
          <w:rFonts w:eastAsiaTheme="minorHAnsi" w:cs="Arial"/>
          <w:kern w:val="0"/>
          <w:lang w:eastAsia="en-US" w:bidi="ar-SA"/>
        </w:rPr>
        <w:t xml:space="preserve"> </w:t>
      </w:r>
      <w:r w:rsidRPr="008771DD">
        <w:rPr>
          <w:rFonts w:eastAsiaTheme="minorHAnsi" w:cs="Arial"/>
          <w:kern w:val="0"/>
          <w:lang w:eastAsia="en-US" w:bidi="ar-SA"/>
        </w:rPr>
        <w:t>specifically authorised to:</w:t>
      </w:r>
    </w:p>
    <w:p w14:paraId="76528E4E" w14:textId="77777777" w:rsidR="00094894"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Act as the Council’s “Proper Officer” in all cases where any legislation requires the appointment of such an Officer and to ensure the proper discharge of its functions.</w:t>
      </w:r>
    </w:p>
    <w:p w14:paraId="311B598C" w14:textId="77777777" w:rsidR="00094894"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receive declarations of acceptance of office.</w:t>
      </w:r>
    </w:p>
    <w:p w14:paraId="51DEA9B6"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receive and record notices disclosing personal and prejudicial interests.</w:t>
      </w:r>
    </w:p>
    <w:p w14:paraId="46A98C24" w14:textId="50B66366"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 xml:space="preserve">To </w:t>
      </w:r>
      <w:r w:rsidR="00571C26">
        <w:rPr>
          <w:rFonts w:ascii="Arial" w:hAnsi="Arial" w:cs="Arial"/>
          <w:color w:val="auto"/>
          <w:sz w:val="24"/>
          <w:szCs w:val="24"/>
        </w:rPr>
        <w:t xml:space="preserve">receive </w:t>
      </w:r>
      <w:r w:rsidR="003E410C">
        <w:rPr>
          <w:rFonts w:ascii="Arial" w:hAnsi="Arial" w:cs="Arial"/>
          <w:color w:val="auto"/>
          <w:sz w:val="24"/>
          <w:szCs w:val="24"/>
        </w:rPr>
        <w:t>requests f</w:t>
      </w:r>
      <w:r w:rsidR="0016078C">
        <w:rPr>
          <w:rFonts w:ascii="Arial" w:hAnsi="Arial" w:cs="Arial"/>
          <w:color w:val="auto"/>
          <w:sz w:val="24"/>
          <w:szCs w:val="24"/>
        </w:rPr>
        <w:t>rom c</w:t>
      </w:r>
      <w:r w:rsidR="003E410C">
        <w:rPr>
          <w:rFonts w:ascii="Arial" w:hAnsi="Arial" w:cs="Arial"/>
          <w:color w:val="auto"/>
          <w:sz w:val="24"/>
          <w:szCs w:val="24"/>
        </w:rPr>
        <w:t>ouncillor</w:t>
      </w:r>
      <w:r w:rsidR="0016078C">
        <w:rPr>
          <w:rFonts w:ascii="Arial" w:hAnsi="Arial" w:cs="Arial"/>
          <w:color w:val="auto"/>
          <w:sz w:val="24"/>
          <w:szCs w:val="24"/>
        </w:rPr>
        <w:t>s</w:t>
      </w:r>
      <w:r w:rsidR="00411FEB">
        <w:rPr>
          <w:rFonts w:ascii="Arial" w:hAnsi="Arial" w:cs="Arial"/>
          <w:color w:val="auto"/>
          <w:sz w:val="24"/>
          <w:szCs w:val="24"/>
        </w:rPr>
        <w:t xml:space="preserve"> or non-councillor with voting rights, for a</w:t>
      </w:r>
      <w:r w:rsidR="003F5F4E">
        <w:rPr>
          <w:rFonts w:ascii="Arial" w:hAnsi="Arial" w:cs="Arial"/>
          <w:color w:val="auto"/>
          <w:sz w:val="24"/>
          <w:szCs w:val="24"/>
        </w:rPr>
        <w:t xml:space="preserve"> dispensation </w:t>
      </w:r>
      <w:r w:rsidRPr="008771DD">
        <w:rPr>
          <w:rFonts w:ascii="Arial" w:hAnsi="Arial" w:cs="Arial"/>
          <w:color w:val="auto"/>
          <w:sz w:val="24"/>
          <w:szCs w:val="24"/>
        </w:rPr>
        <w:t>at a</w:t>
      </w:r>
      <w:r w:rsidR="009A2A56" w:rsidRPr="008771DD">
        <w:rPr>
          <w:rFonts w:ascii="Arial" w:hAnsi="Arial" w:cs="Arial"/>
          <w:color w:val="auto"/>
          <w:sz w:val="24"/>
          <w:szCs w:val="24"/>
        </w:rPr>
        <w:t xml:space="preserve"> </w:t>
      </w:r>
      <w:r w:rsidRPr="008771DD">
        <w:rPr>
          <w:rFonts w:ascii="Arial" w:hAnsi="Arial" w:cs="Arial"/>
          <w:color w:val="auto"/>
          <w:sz w:val="24"/>
          <w:szCs w:val="24"/>
        </w:rPr>
        <w:t>meeting at which a matter is being considered in which he/she has a disclosable</w:t>
      </w:r>
      <w:r w:rsidR="009A2A56" w:rsidRPr="008771DD">
        <w:rPr>
          <w:rFonts w:ascii="Arial" w:hAnsi="Arial" w:cs="Arial"/>
          <w:color w:val="auto"/>
          <w:sz w:val="24"/>
          <w:szCs w:val="24"/>
        </w:rPr>
        <w:t xml:space="preserve"> </w:t>
      </w:r>
      <w:r w:rsidRPr="008771DD">
        <w:rPr>
          <w:rFonts w:ascii="Arial" w:hAnsi="Arial" w:cs="Arial"/>
          <w:color w:val="auto"/>
          <w:sz w:val="24"/>
          <w:szCs w:val="24"/>
        </w:rPr>
        <w:t>pecuniary interest.</w:t>
      </w:r>
    </w:p>
    <w:p w14:paraId="1BC17BBD"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receive and retain plans and documents.</w:t>
      </w:r>
    </w:p>
    <w:p w14:paraId="3E60F555"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sign notices or other documents on behalf of the Council.</w:t>
      </w:r>
    </w:p>
    <w:p w14:paraId="3B20D14F"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sign on behalf of the Council any document necessary to enable Council</w:t>
      </w:r>
      <w:r w:rsidR="009A2A56" w:rsidRPr="008771DD">
        <w:rPr>
          <w:rFonts w:ascii="Arial" w:hAnsi="Arial" w:cs="Arial"/>
          <w:color w:val="auto"/>
          <w:sz w:val="24"/>
          <w:szCs w:val="24"/>
        </w:rPr>
        <w:t xml:space="preserve"> </w:t>
      </w:r>
      <w:r w:rsidRPr="008771DD">
        <w:rPr>
          <w:rFonts w:ascii="Arial" w:hAnsi="Arial" w:cs="Arial"/>
          <w:color w:val="auto"/>
          <w:sz w:val="24"/>
          <w:szCs w:val="24"/>
        </w:rPr>
        <w:t>decisions to be enforced</w:t>
      </w:r>
      <w:r w:rsidR="009A2A56" w:rsidRPr="008771DD">
        <w:rPr>
          <w:rFonts w:ascii="Arial" w:hAnsi="Arial" w:cs="Arial"/>
          <w:color w:val="auto"/>
          <w:sz w:val="24"/>
          <w:szCs w:val="24"/>
        </w:rPr>
        <w:t>.</w:t>
      </w:r>
    </w:p>
    <w:p w14:paraId="3ACE201E"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receive copies of by-laws made by the Principal Authority.</w:t>
      </w:r>
    </w:p>
    <w:p w14:paraId="6ABFF7AF"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certify copies of by-laws made by the Council.</w:t>
      </w:r>
    </w:p>
    <w:p w14:paraId="323D73BE" w14:textId="77777777" w:rsidR="009A2A56" w:rsidRPr="008771DD" w:rsidRDefault="00094894" w:rsidP="00C37D31">
      <w:pPr>
        <w:pStyle w:val="Heading2"/>
        <w:widowControl/>
        <w:suppressAutoHyphens w:val="0"/>
        <w:autoSpaceDE w:val="0"/>
        <w:autoSpaceDN w:val="0"/>
        <w:adjustRightInd w:val="0"/>
        <w:jc w:val="both"/>
        <w:rPr>
          <w:rFonts w:ascii="Arial" w:hAnsi="Arial" w:cs="Arial"/>
          <w:color w:val="auto"/>
          <w:sz w:val="24"/>
          <w:szCs w:val="24"/>
        </w:rPr>
      </w:pPr>
      <w:r w:rsidRPr="008771DD">
        <w:rPr>
          <w:rFonts w:ascii="Arial" w:hAnsi="Arial" w:cs="Arial"/>
          <w:color w:val="auto"/>
          <w:sz w:val="24"/>
          <w:szCs w:val="24"/>
        </w:rPr>
        <w:t>To sign summonses to attend meetings of the Council.</w:t>
      </w:r>
    </w:p>
    <w:p w14:paraId="588DA624" w14:textId="4D27F548" w:rsidR="00185166" w:rsidRPr="008771DD" w:rsidRDefault="00094894" w:rsidP="00C37D31">
      <w:pPr>
        <w:pStyle w:val="Heading2"/>
        <w:jc w:val="both"/>
        <w:rPr>
          <w:rFonts w:ascii="Arial" w:hAnsi="Arial" w:cs="Arial"/>
          <w:color w:val="auto"/>
          <w:sz w:val="24"/>
          <w:szCs w:val="24"/>
        </w:rPr>
      </w:pPr>
      <w:r w:rsidRPr="008771DD">
        <w:rPr>
          <w:rFonts w:ascii="Arial" w:hAnsi="Arial" w:cs="Arial"/>
          <w:color w:val="auto"/>
          <w:sz w:val="24"/>
          <w:szCs w:val="24"/>
        </w:rPr>
        <w:t xml:space="preserve">To act as the Council’s designated officer </w:t>
      </w:r>
      <w:r w:rsidR="36083AA0" w:rsidRPr="008771DD">
        <w:rPr>
          <w:rFonts w:ascii="Arial" w:hAnsi="Arial" w:cs="Arial"/>
          <w:color w:val="auto"/>
          <w:sz w:val="24"/>
          <w:szCs w:val="24"/>
        </w:rPr>
        <w:t xml:space="preserve">for the </w:t>
      </w:r>
      <w:r w:rsidRPr="008771DD">
        <w:rPr>
          <w:rFonts w:ascii="Arial" w:hAnsi="Arial" w:cs="Arial"/>
          <w:color w:val="auto"/>
          <w:sz w:val="24"/>
          <w:szCs w:val="24"/>
        </w:rPr>
        <w:t>purposes of the Freedom of</w:t>
      </w:r>
      <w:r w:rsidR="009A2A56" w:rsidRPr="008771DD">
        <w:rPr>
          <w:rFonts w:ascii="Arial" w:hAnsi="Arial" w:cs="Arial"/>
          <w:color w:val="auto"/>
          <w:sz w:val="24"/>
          <w:szCs w:val="24"/>
        </w:rPr>
        <w:t xml:space="preserve"> I</w:t>
      </w:r>
      <w:r w:rsidRPr="008771DD">
        <w:rPr>
          <w:rFonts w:ascii="Arial" w:hAnsi="Arial" w:cs="Arial"/>
          <w:color w:val="auto"/>
          <w:sz w:val="24"/>
          <w:szCs w:val="24"/>
        </w:rPr>
        <w:t>nformation Act 2000 and the General Data Protection Regulations 2018.</w:t>
      </w:r>
      <w:r w:rsidR="00F97735" w:rsidRPr="008771DD">
        <w:rPr>
          <w:rFonts w:ascii="Arial" w:hAnsi="Arial" w:cs="Arial"/>
          <w:color w:val="auto"/>
          <w:sz w:val="24"/>
          <w:szCs w:val="24"/>
        </w:rPr>
        <w:t xml:space="preserve"> </w:t>
      </w:r>
    </w:p>
    <w:p w14:paraId="53105E0B" w14:textId="2EDC831B" w:rsidR="00013313" w:rsidRDefault="00F97735" w:rsidP="00C37D31">
      <w:pPr>
        <w:pStyle w:val="Heading2"/>
        <w:jc w:val="both"/>
        <w:rPr>
          <w:rFonts w:ascii="Arial" w:hAnsi="Arial" w:cs="Arial"/>
          <w:color w:val="auto"/>
          <w:sz w:val="24"/>
          <w:szCs w:val="24"/>
        </w:rPr>
      </w:pPr>
      <w:r w:rsidRPr="008771DD">
        <w:rPr>
          <w:rFonts w:ascii="Arial" w:hAnsi="Arial" w:cs="Arial"/>
          <w:color w:val="auto"/>
          <w:sz w:val="24"/>
          <w:szCs w:val="24"/>
        </w:rPr>
        <w:t>To act as the Council’s designated officer for the determining of the purposes and</w:t>
      </w:r>
      <w:r w:rsidR="00185166" w:rsidRPr="008771DD">
        <w:rPr>
          <w:rFonts w:ascii="Arial" w:hAnsi="Arial" w:cs="Arial"/>
          <w:color w:val="auto"/>
          <w:sz w:val="24"/>
          <w:szCs w:val="24"/>
        </w:rPr>
        <w:t xml:space="preserve"> </w:t>
      </w:r>
      <w:r w:rsidRPr="008771DD">
        <w:rPr>
          <w:rFonts w:ascii="Arial" w:hAnsi="Arial" w:cs="Arial"/>
          <w:color w:val="auto"/>
          <w:sz w:val="24"/>
          <w:szCs w:val="24"/>
        </w:rPr>
        <w:t>the means of the processing of personal data under the General Data Protection</w:t>
      </w:r>
      <w:r w:rsidR="00185166" w:rsidRPr="008771DD">
        <w:rPr>
          <w:rFonts w:ascii="Arial" w:hAnsi="Arial" w:cs="Arial"/>
          <w:color w:val="auto"/>
          <w:sz w:val="24"/>
          <w:szCs w:val="24"/>
        </w:rPr>
        <w:t xml:space="preserve"> </w:t>
      </w:r>
      <w:r w:rsidRPr="008771DD">
        <w:rPr>
          <w:rFonts w:ascii="Arial" w:hAnsi="Arial" w:cs="Arial"/>
          <w:color w:val="auto"/>
          <w:sz w:val="24"/>
          <w:szCs w:val="24"/>
        </w:rPr>
        <w:t>Regulations (GDPR).</w:t>
      </w:r>
    </w:p>
    <w:p w14:paraId="50E7D193" w14:textId="01093DF4" w:rsidR="00F0473C" w:rsidRPr="00F0473C" w:rsidRDefault="00F0473C" w:rsidP="00F0473C">
      <w:r>
        <w:t xml:space="preserve">2.13 To act as paid Head of Services </w:t>
      </w:r>
    </w:p>
    <w:p w14:paraId="3072F5F1" w14:textId="77777777" w:rsidR="00E645AE" w:rsidRDefault="00E645AE" w:rsidP="00E645AE"/>
    <w:p w14:paraId="4AEF9EC4" w14:textId="77777777" w:rsidR="00F94926" w:rsidRDefault="00F94926" w:rsidP="00E9544E"/>
    <w:p w14:paraId="0307C774" w14:textId="77777777" w:rsidR="0078435C" w:rsidRDefault="0078435C" w:rsidP="00E9544E"/>
    <w:p w14:paraId="03A6A58B" w14:textId="77777777" w:rsidR="0078435C" w:rsidRDefault="0078435C" w:rsidP="00E9544E"/>
    <w:p w14:paraId="70D65CD8" w14:textId="77777777" w:rsidR="0078435C" w:rsidRDefault="0078435C" w:rsidP="00E9544E"/>
    <w:p w14:paraId="30778C35" w14:textId="77777777" w:rsidR="0078435C" w:rsidRDefault="0078435C" w:rsidP="00E9544E"/>
    <w:p w14:paraId="4972527D" w14:textId="77777777" w:rsidR="0078435C" w:rsidRDefault="0078435C" w:rsidP="00E9544E"/>
    <w:p w14:paraId="65E5A151" w14:textId="77777777" w:rsidR="0078435C" w:rsidRDefault="0078435C" w:rsidP="00E9544E"/>
    <w:p w14:paraId="51E9C87A" w14:textId="77777777" w:rsidR="0078435C" w:rsidRDefault="0078435C" w:rsidP="00E9544E"/>
    <w:p w14:paraId="363F9195" w14:textId="77777777" w:rsidR="0078435C" w:rsidRDefault="0078435C" w:rsidP="00E9544E"/>
    <w:p w14:paraId="65B12159" w14:textId="77777777" w:rsidR="0078435C" w:rsidRDefault="0078435C" w:rsidP="00E9544E"/>
    <w:p w14:paraId="170955EA" w14:textId="77777777" w:rsidR="0078435C" w:rsidRPr="0090727C" w:rsidRDefault="0078435C" w:rsidP="00E9544E"/>
    <w:p w14:paraId="1A142F70" w14:textId="77777777" w:rsidR="0078435C" w:rsidRPr="008771DD" w:rsidRDefault="0078435C" w:rsidP="0078435C">
      <w:pPr>
        <w:pStyle w:val="Heading1"/>
        <w:rPr>
          <w:rFonts w:ascii="Arial" w:hAnsi="Arial" w:cs="Arial"/>
          <w:b/>
          <w:bCs/>
          <w:color w:val="auto"/>
          <w:sz w:val="24"/>
          <w:szCs w:val="24"/>
        </w:rPr>
      </w:pPr>
      <w:r>
        <w:rPr>
          <w:rFonts w:ascii="Arial" w:hAnsi="Arial" w:cs="Arial"/>
          <w:b/>
          <w:bCs/>
          <w:color w:val="auto"/>
          <w:sz w:val="24"/>
          <w:szCs w:val="24"/>
        </w:rPr>
        <w:lastRenderedPageBreak/>
        <w:t>Fi</w:t>
      </w:r>
      <w:r w:rsidRPr="008771DD">
        <w:rPr>
          <w:rFonts w:ascii="Arial" w:hAnsi="Arial" w:cs="Arial"/>
          <w:b/>
          <w:bCs/>
          <w:color w:val="auto"/>
          <w:sz w:val="24"/>
          <w:szCs w:val="24"/>
        </w:rPr>
        <w:t xml:space="preserve">nancial </w:t>
      </w:r>
    </w:p>
    <w:p w14:paraId="136CA14D" w14:textId="77777777" w:rsidR="0078435C" w:rsidRPr="008771DD" w:rsidRDefault="0078435C" w:rsidP="0078435C">
      <w:pPr>
        <w:pStyle w:val="Heading2"/>
        <w:rPr>
          <w:rFonts w:ascii="Arial" w:hAnsi="Arial" w:cs="Arial"/>
          <w:color w:val="auto"/>
          <w:sz w:val="24"/>
          <w:szCs w:val="24"/>
        </w:rPr>
      </w:pPr>
      <w:r w:rsidRPr="008771DD">
        <w:rPr>
          <w:rFonts w:ascii="Arial" w:hAnsi="Arial" w:cs="Arial"/>
          <w:color w:val="auto"/>
          <w:sz w:val="24"/>
          <w:szCs w:val="24"/>
        </w:rPr>
        <w:t xml:space="preserve">In addition to the above the Clerk and RFO have delegated authority to undertake the following matters on behalf of the Council, these are in accordance with SWTC’s Financial Regulations. </w:t>
      </w:r>
    </w:p>
    <w:p w14:paraId="4974B0A2" w14:textId="77777777" w:rsidR="0078435C" w:rsidRPr="008771DD" w:rsidRDefault="0078435C" w:rsidP="0078435C">
      <w:pPr>
        <w:pStyle w:val="Heading2"/>
        <w:rPr>
          <w:rFonts w:ascii="Arial" w:hAnsi="Arial" w:cs="Arial"/>
          <w:color w:val="auto"/>
          <w:sz w:val="24"/>
          <w:szCs w:val="24"/>
        </w:rPr>
      </w:pPr>
      <w:r w:rsidRPr="008771DD">
        <w:rPr>
          <w:rFonts w:ascii="Arial" w:hAnsi="Arial" w:cs="Arial"/>
          <w:color w:val="auto"/>
          <w:sz w:val="24"/>
          <w:szCs w:val="24"/>
        </w:rPr>
        <w:t xml:space="preserve">Expenditure on revenue items may be authorised up to the amounts included for that class of expenditure in the approved budget. </w:t>
      </w:r>
    </w:p>
    <w:p w14:paraId="1CA91065" w14:textId="77777777" w:rsidR="0078435C" w:rsidRPr="008771DD" w:rsidRDefault="0078435C" w:rsidP="0078435C">
      <w:pPr>
        <w:pStyle w:val="Heading2"/>
        <w:rPr>
          <w:rFonts w:ascii="Arial" w:hAnsi="Arial" w:cs="Arial"/>
          <w:color w:val="auto"/>
          <w:sz w:val="24"/>
          <w:szCs w:val="24"/>
        </w:rPr>
      </w:pPr>
      <w:r w:rsidRPr="008771DD">
        <w:rPr>
          <w:rFonts w:ascii="Arial" w:hAnsi="Arial" w:cs="Arial"/>
          <w:color w:val="auto"/>
          <w:sz w:val="24"/>
          <w:szCs w:val="24"/>
        </w:rPr>
        <w:t xml:space="preserve">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The Clerk and RFO are authorised to </w:t>
      </w:r>
      <w:proofErr w:type="spellStart"/>
      <w:r w:rsidRPr="008771DD">
        <w:rPr>
          <w:rFonts w:ascii="Arial" w:hAnsi="Arial" w:cs="Arial"/>
          <w:color w:val="auto"/>
          <w:sz w:val="24"/>
          <w:szCs w:val="24"/>
        </w:rPr>
        <w:t>vire</w:t>
      </w:r>
      <w:proofErr w:type="spellEnd"/>
      <w:r w:rsidRPr="008771DD">
        <w:rPr>
          <w:rFonts w:ascii="Arial" w:hAnsi="Arial" w:cs="Arial"/>
          <w:color w:val="auto"/>
          <w:sz w:val="24"/>
          <w:szCs w:val="24"/>
        </w:rPr>
        <w:t xml:space="preserve"> monies within budgets to a maximum of £4,000 per item.  </w:t>
      </w:r>
    </w:p>
    <w:p w14:paraId="1CE6A87E" w14:textId="77777777" w:rsidR="0078435C" w:rsidRPr="008771DD" w:rsidRDefault="0078435C" w:rsidP="0078435C">
      <w:pPr>
        <w:pStyle w:val="Heading2"/>
        <w:rPr>
          <w:rFonts w:ascii="Arial" w:hAnsi="Arial" w:cs="Arial"/>
          <w:color w:val="auto"/>
          <w:sz w:val="24"/>
          <w:szCs w:val="24"/>
        </w:rPr>
      </w:pPr>
      <w:r w:rsidRPr="008771DD">
        <w:rPr>
          <w:rFonts w:ascii="Arial" w:hAnsi="Arial" w:cs="Arial"/>
          <w:color w:val="auto"/>
          <w:sz w:val="24"/>
          <w:szCs w:val="24"/>
        </w:rPr>
        <w:t xml:space="preserve">In cases of extreme risk to the delivery of council services, the clerk may authorise revenue expenditure on behalf of the council which in the clerk’s judgement it is necessary to carry out. Such expenditure includes repair, </w:t>
      </w:r>
      <w:proofErr w:type="gramStart"/>
      <w:r w:rsidRPr="008771DD">
        <w:rPr>
          <w:rFonts w:ascii="Arial" w:hAnsi="Arial" w:cs="Arial"/>
          <w:color w:val="auto"/>
          <w:sz w:val="24"/>
          <w:szCs w:val="24"/>
        </w:rPr>
        <w:t>replacement</w:t>
      </w:r>
      <w:proofErr w:type="gramEnd"/>
      <w:r w:rsidRPr="008771DD">
        <w:rPr>
          <w:rFonts w:ascii="Arial" w:hAnsi="Arial" w:cs="Arial"/>
          <w:color w:val="auto"/>
          <w:sz w:val="24"/>
          <w:szCs w:val="24"/>
        </w:rPr>
        <w:t xml:space="preserve"> or other work, whether or not there is any budgetary provision for the expenditure, subject to a limit of £50,000.00. The Clerk shall report such action to the chairman of the council as soon as possible and to the council as soon as practicable thereafter.</w:t>
      </w:r>
    </w:p>
    <w:p w14:paraId="57DAAD48" w14:textId="77777777" w:rsidR="0078435C" w:rsidRPr="008771DD" w:rsidRDefault="0078435C" w:rsidP="0078435C">
      <w:pPr>
        <w:pStyle w:val="Heading2"/>
        <w:rPr>
          <w:rFonts w:ascii="Arial" w:hAnsi="Arial" w:cs="Arial"/>
          <w:color w:val="auto"/>
          <w:sz w:val="24"/>
          <w:szCs w:val="24"/>
        </w:rPr>
      </w:pPr>
      <w:r w:rsidRPr="008771DD">
        <w:rPr>
          <w:rFonts w:ascii="Arial" w:hAnsi="Arial" w:cs="Arial"/>
          <w:color w:val="auto"/>
          <w:sz w:val="24"/>
          <w:szCs w:val="24"/>
        </w:rPr>
        <w:t xml:space="preserve">The RFO shall maintain a petty cash float of £200 for the purpose of defraying operational and other expenses. Vouchers for payments made from petty cash shall be kept </w:t>
      </w:r>
      <w:proofErr w:type="gramStart"/>
      <w:r w:rsidRPr="008771DD">
        <w:rPr>
          <w:rFonts w:ascii="Arial" w:hAnsi="Arial" w:cs="Arial"/>
          <w:color w:val="auto"/>
          <w:sz w:val="24"/>
          <w:szCs w:val="24"/>
        </w:rPr>
        <w:t>to substantiate</w:t>
      </w:r>
      <w:proofErr w:type="gramEnd"/>
      <w:r w:rsidRPr="008771DD">
        <w:rPr>
          <w:rFonts w:ascii="Arial" w:hAnsi="Arial" w:cs="Arial"/>
          <w:color w:val="auto"/>
          <w:sz w:val="24"/>
          <w:szCs w:val="24"/>
        </w:rPr>
        <w:t xml:space="preserve"> the payment.</w:t>
      </w:r>
    </w:p>
    <w:p w14:paraId="7B36963E" w14:textId="77777777" w:rsidR="0078435C" w:rsidRDefault="0078435C" w:rsidP="0078435C">
      <w:pPr>
        <w:pStyle w:val="Heading2"/>
        <w:rPr>
          <w:rFonts w:ascii="Arial" w:hAnsi="Arial" w:cs="Arial"/>
          <w:color w:val="auto"/>
          <w:sz w:val="24"/>
          <w:szCs w:val="24"/>
        </w:rPr>
      </w:pPr>
      <w:r w:rsidRPr="008771DD">
        <w:rPr>
          <w:rFonts w:ascii="Arial" w:hAnsi="Arial" w:cs="Arial"/>
          <w:color w:val="auto"/>
          <w:sz w:val="24"/>
          <w:szCs w:val="24"/>
        </w:rPr>
        <w:t xml:space="preserve">The Clerk and RFO shall have delegated authority to authorise the payment of items </w:t>
      </w:r>
      <w:r>
        <w:rPr>
          <w:rFonts w:ascii="Arial" w:hAnsi="Arial" w:cs="Arial"/>
          <w:color w:val="auto"/>
          <w:sz w:val="24"/>
          <w:szCs w:val="24"/>
        </w:rPr>
        <w:t xml:space="preserve">as prescribed within the Town Council’s Financial Regulations, Standing </w:t>
      </w:r>
      <w:proofErr w:type="gramStart"/>
      <w:r>
        <w:rPr>
          <w:rFonts w:ascii="Arial" w:hAnsi="Arial" w:cs="Arial"/>
          <w:color w:val="auto"/>
          <w:sz w:val="24"/>
          <w:szCs w:val="24"/>
        </w:rPr>
        <w:t>Orders</w:t>
      </w:r>
      <w:proofErr w:type="gramEnd"/>
      <w:r>
        <w:rPr>
          <w:rFonts w:ascii="Arial" w:hAnsi="Arial" w:cs="Arial"/>
          <w:color w:val="auto"/>
          <w:sz w:val="24"/>
          <w:szCs w:val="24"/>
        </w:rPr>
        <w:t xml:space="preserve"> and any other governing document.  </w:t>
      </w:r>
    </w:p>
    <w:p w14:paraId="17315A8A" w14:textId="77777777" w:rsidR="00210860" w:rsidRPr="0090727C" w:rsidRDefault="00210860" w:rsidP="00F94926"/>
    <w:p w14:paraId="448EF459" w14:textId="2F05E90E" w:rsidR="00BA758E" w:rsidRPr="00BA758E" w:rsidRDefault="00BA758E" w:rsidP="00BA758E"/>
    <w:sectPr w:rsidR="00BA758E" w:rsidRPr="00BA758E" w:rsidSect="00A240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60D3" w14:textId="77777777" w:rsidR="00D97304" w:rsidRDefault="00D97304" w:rsidP="008771DD">
      <w:r>
        <w:separator/>
      </w:r>
    </w:p>
  </w:endnote>
  <w:endnote w:type="continuationSeparator" w:id="0">
    <w:p w14:paraId="62D3EBC2" w14:textId="77777777" w:rsidR="00D97304" w:rsidRDefault="00D97304" w:rsidP="008771DD">
      <w:r>
        <w:continuationSeparator/>
      </w:r>
    </w:p>
  </w:endnote>
  <w:endnote w:type="continuationNotice" w:id="1">
    <w:p w14:paraId="181827BE" w14:textId="77777777" w:rsidR="00D97304" w:rsidRDefault="00D973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7270" w14:textId="77777777" w:rsidR="00D97304" w:rsidRDefault="00D97304" w:rsidP="008771DD">
      <w:r>
        <w:separator/>
      </w:r>
    </w:p>
  </w:footnote>
  <w:footnote w:type="continuationSeparator" w:id="0">
    <w:p w14:paraId="0A30783D" w14:textId="77777777" w:rsidR="00D97304" w:rsidRDefault="00D97304" w:rsidP="008771DD">
      <w:r>
        <w:continuationSeparator/>
      </w:r>
    </w:p>
  </w:footnote>
  <w:footnote w:type="continuationNotice" w:id="1">
    <w:p w14:paraId="7FF259E7" w14:textId="77777777" w:rsidR="00D97304" w:rsidRDefault="00D973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3F1"/>
    <w:multiLevelType w:val="hybridMultilevel"/>
    <w:tmpl w:val="A7B098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457A7"/>
    <w:multiLevelType w:val="hybridMultilevel"/>
    <w:tmpl w:val="F0DA8C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D761AE"/>
    <w:multiLevelType w:val="hybridMultilevel"/>
    <w:tmpl w:val="23B0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F4745"/>
    <w:multiLevelType w:val="hybridMultilevel"/>
    <w:tmpl w:val="CD4ED4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851195"/>
    <w:multiLevelType w:val="hybridMultilevel"/>
    <w:tmpl w:val="E968D85E"/>
    <w:lvl w:ilvl="0" w:tplc="B1CED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4462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0EF0B49"/>
    <w:multiLevelType w:val="multilevel"/>
    <w:tmpl w:val="56FA18E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61679009">
    <w:abstractNumId w:val="2"/>
  </w:num>
  <w:num w:numId="2" w16cid:durableId="1343628637">
    <w:abstractNumId w:val="6"/>
  </w:num>
  <w:num w:numId="3" w16cid:durableId="191303012">
    <w:abstractNumId w:val="5"/>
  </w:num>
  <w:num w:numId="4" w16cid:durableId="253587191">
    <w:abstractNumId w:val="3"/>
  </w:num>
  <w:num w:numId="5" w16cid:durableId="576936651">
    <w:abstractNumId w:val="4"/>
  </w:num>
  <w:num w:numId="6" w16cid:durableId="516502198">
    <w:abstractNumId w:val="1"/>
  </w:num>
  <w:num w:numId="7" w16cid:durableId="112422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39"/>
    <w:rsid w:val="00013313"/>
    <w:rsid w:val="00035320"/>
    <w:rsid w:val="00090A0A"/>
    <w:rsid w:val="00094894"/>
    <w:rsid w:val="000B1B97"/>
    <w:rsid w:val="000D1B62"/>
    <w:rsid w:val="000D6E0E"/>
    <w:rsid w:val="000D7666"/>
    <w:rsid w:val="000F1498"/>
    <w:rsid w:val="000F7BE8"/>
    <w:rsid w:val="001005F8"/>
    <w:rsid w:val="0011649C"/>
    <w:rsid w:val="00123597"/>
    <w:rsid w:val="0016078C"/>
    <w:rsid w:val="00180263"/>
    <w:rsid w:val="00185166"/>
    <w:rsid w:val="001B0AA2"/>
    <w:rsid w:val="002053A1"/>
    <w:rsid w:val="00210860"/>
    <w:rsid w:val="00234E06"/>
    <w:rsid w:val="002E11AB"/>
    <w:rsid w:val="002E69AE"/>
    <w:rsid w:val="00302800"/>
    <w:rsid w:val="003531E3"/>
    <w:rsid w:val="003535F1"/>
    <w:rsid w:val="00364F1F"/>
    <w:rsid w:val="0039379A"/>
    <w:rsid w:val="003D71FE"/>
    <w:rsid w:val="003E410C"/>
    <w:rsid w:val="003F2B9E"/>
    <w:rsid w:val="003F5F4E"/>
    <w:rsid w:val="00411FEB"/>
    <w:rsid w:val="004164E1"/>
    <w:rsid w:val="00423CCA"/>
    <w:rsid w:val="004A45B1"/>
    <w:rsid w:val="004B01DC"/>
    <w:rsid w:val="004C1B5D"/>
    <w:rsid w:val="00501E39"/>
    <w:rsid w:val="005501DA"/>
    <w:rsid w:val="00571C26"/>
    <w:rsid w:val="00580654"/>
    <w:rsid w:val="00597E45"/>
    <w:rsid w:val="005B5F0D"/>
    <w:rsid w:val="005F0A9D"/>
    <w:rsid w:val="005F2759"/>
    <w:rsid w:val="00620D9A"/>
    <w:rsid w:val="00637930"/>
    <w:rsid w:val="00643032"/>
    <w:rsid w:val="00690D42"/>
    <w:rsid w:val="006B2A8C"/>
    <w:rsid w:val="006F4DBB"/>
    <w:rsid w:val="007112E1"/>
    <w:rsid w:val="0078435C"/>
    <w:rsid w:val="007A439E"/>
    <w:rsid w:val="007B4757"/>
    <w:rsid w:val="007F3551"/>
    <w:rsid w:val="008209C3"/>
    <w:rsid w:val="00834B1E"/>
    <w:rsid w:val="00835206"/>
    <w:rsid w:val="00850145"/>
    <w:rsid w:val="008771DD"/>
    <w:rsid w:val="008D53D0"/>
    <w:rsid w:val="0090727C"/>
    <w:rsid w:val="00912B51"/>
    <w:rsid w:val="009166A2"/>
    <w:rsid w:val="009A2A56"/>
    <w:rsid w:val="009A7B53"/>
    <w:rsid w:val="009C7164"/>
    <w:rsid w:val="00A24048"/>
    <w:rsid w:val="00A5729A"/>
    <w:rsid w:val="00A70679"/>
    <w:rsid w:val="00A71210"/>
    <w:rsid w:val="00A80961"/>
    <w:rsid w:val="00AF1DD6"/>
    <w:rsid w:val="00BA758E"/>
    <w:rsid w:val="00BD5596"/>
    <w:rsid w:val="00C37D31"/>
    <w:rsid w:val="00C82DCB"/>
    <w:rsid w:val="00C90047"/>
    <w:rsid w:val="00CB5BCF"/>
    <w:rsid w:val="00D44EE9"/>
    <w:rsid w:val="00D718BA"/>
    <w:rsid w:val="00D97304"/>
    <w:rsid w:val="00DA37E5"/>
    <w:rsid w:val="00E44545"/>
    <w:rsid w:val="00E645AE"/>
    <w:rsid w:val="00E76C97"/>
    <w:rsid w:val="00E814E9"/>
    <w:rsid w:val="00E91CED"/>
    <w:rsid w:val="00E935DA"/>
    <w:rsid w:val="00E9544E"/>
    <w:rsid w:val="00EE427D"/>
    <w:rsid w:val="00EF2561"/>
    <w:rsid w:val="00F0473C"/>
    <w:rsid w:val="00F14DD5"/>
    <w:rsid w:val="00F6174F"/>
    <w:rsid w:val="00F639FF"/>
    <w:rsid w:val="00F71126"/>
    <w:rsid w:val="00F873C7"/>
    <w:rsid w:val="00F94926"/>
    <w:rsid w:val="00F97735"/>
    <w:rsid w:val="1CAC6742"/>
    <w:rsid w:val="1F983C39"/>
    <w:rsid w:val="2E578866"/>
    <w:rsid w:val="3045329A"/>
    <w:rsid w:val="36083AA0"/>
    <w:rsid w:val="4104347F"/>
    <w:rsid w:val="52338C4B"/>
    <w:rsid w:val="53B7943B"/>
    <w:rsid w:val="56710642"/>
    <w:rsid w:val="71AAF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307D"/>
  <w15:chartTrackingRefBased/>
  <w15:docId w15:val="{C7E6CBD6-98DC-4FB8-BE8E-B2C2330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73C"/>
    <w:pPr>
      <w:widowControl w:val="0"/>
      <w:suppressAutoHyphens/>
      <w:spacing w:after="0" w:line="240" w:lineRule="auto"/>
    </w:pPr>
    <w:rPr>
      <w:rFonts w:ascii="Arial" w:eastAsia="SimSun" w:hAnsi="Arial" w:cs="Mangal"/>
      <w:kern w:val="1"/>
      <w:sz w:val="24"/>
      <w:szCs w:val="24"/>
      <w:lang w:eastAsia="hi-IN" w:bidi="hi-IN"/>
    </w:rPr>
  </w:style>
  <w:style w:type="paragraph" w:styleId="Heading1">
    <w:name w:val="heading 1"/>
    <w:basedOn w:val="Normal"/>
    <w:next w:val="Normal"/>
    <w:link w:val="Heading1Char"/>
    <w:uiPriority w:val="9"/>
    <w:qFormat/>
    <w:rsid w:val="005F0A9D"/>
    <w:pPr>
      <w:keepNext/>
      <w:keepLines/>
      <w:numPr>
        <w:numId w:val="3"/>
      </w:numPr>
      <w:spacing w:before="240"/>
      <w:outlineLvl w:val="0"/>
    </w:pPr>
    <w:rPr>
      <w:rFonts w:asciiTheme="majorHAnsi" w:eastAsiaTheme="majorEastAsia" w:hAnsiTheme="majorHAnsi"/>
      <w:color w:val="2F5496" w:themeColor="accent1" w:themeShade="BF"/>
      <w:sz w:val="32"/>
      <w:szCs w:val="29"/>
    </w:rPr>
  </w:style>
  <w:style w:type="paragraph" w:styleId="Heading2">
    <w:name w:val="heading 2"/>
    <w:basedOn w:val="Normal"/>
    <w:next w:val="Normal"/>
    <w:link w:val="Heading2Char"/>
    <w:uiPriority w:val="9"/>
    <w:unhideWhenUsed/>
    <w:qFormat/>
    <w:rsid w:val="005F0A9D"/>
    <w:pPr>
      <w:keepNext/>
      <w:keepLines/>
      <w:numPr>
        <w:ilvl w:val="1"/>
        <w:numId w:val="3"/>
      </w:numPr>
      <w:spacing w:before="40"/>
      <w:outlineLvl w:val="1"/>
    </w:pPr>
    <w:rPr>
      <w:rFonts w:asciiTheme="majorHAnsi" w:eastAsiaTheme="majorEastAsia" w:hAnsiTheme="majorHAnsi"/>
      <w:color w:val="2F5496" w:themeColor="accent1" w:themeShade="BF"/>
      <w:sz w:val="26"/>
      <w:szCs w:val="23"/>
    </w:rPr>
  </w:style>
  <w:style w:type="paragraph" w:styleId="Heading3">
    <w:name w:val="heading 3"/>
    <w:basedOn w:val="Normal"/>
    <w:next w:val="Normal"/>
    <w:link w:val="Heading3Char"/>
    <w:uiPriority w:val="9"/>
    <w:unhideWhenUsed/>
    <w:qFormat/>
    <w:rsid w:val="005F0A9D"/>
    <w:pPr>
      <w:keepNext/>
      <w:keepLines/>
      <w:numPr>
        <w:ilvl w:val="2"/>
        <w:numId w:val="3"/>
      </w:numPr>
      <w:spacing w:before="40"/>
      <w:outlineLvl w:val="2"/>
    </w:pPr>
    <w:rPr>
      <w:rFonts w:asciiTheme="majorHAnsi" w:eastAsiaTheme="majorEastAsia" w:hAnsiTheme="majorHAnsi"/>
      <w:color w:val="1F3763" w:themeColor="accent1" w:themeShade="7F"/>
      <w:szCs w:val="21"/>
    </w:rPr>
  </w:style>
  <w:style w:type="paragraph" w:styleId="Heading4">
    <w:name w:val="heading 4"/>
    <w:basedOn w:val="Normal"/>
    <w:next w:val="Normal"/>
    <w:link w:val="Heading4Char"/>
    <w:uiPriority w:val="9"/>
    <w:semiHidden/>
    <w:unhideWhenUsed/>
    <w:qFormat/>
    <w:rsid w:val="005F0A9D"/>
    <w:pPr>
      <w:keepNext/>
      <w:keepLines/>
      <w:numPr>
        <w:ilvl w:val="3"/>
        <w:numId w:val="3"/>
      </w:numPr>
      <w:spacing w:before="40"/>
      <w:outlineLvl w:val="3"/>
    </w:pPr>
    <w:rPr>
      <w:rFonts w:asciiTheme="majorHAnsi" w:eastAsiaTheme="majorEastAsia" w:hAnsiTheme="majorHAnsi"/>
      <w:i/>
      <w:iCs/>
      <w:color w:val="2F5496" w:themeColor="accent1" w:themeShade="BF"/>
      <w:szCs w:val="21"/>
    </w:rPr>
  </w:style>
  <w:style w:type="paragraph" w:styleId="Heading5">
    <w:name w:val="heading 5"/>
    <w:basedOn w:val="Normal"/>
    <w:next w:val="Normal"/>
    <w:link w:val="Heading5Char"/>
    <w:uiPriority w:val="9"/>
    <w:semiHidden/>
    <w:unhideWhenUsed/>
    <w:qFormat/>
    <w:rsid w:val="005F0A9D"/>
    <w:pPr>
      <w:keepNext/>
      <w:keepLines/>
      <w:numPr>
        <w:ilvl w:val="4"/>
        <w:numId w:val="3"/>
      </w:numPr>
      <w:spacing w:before="40"/>
      <w:outlineLvl w:val="4"/>
    </w:pPr>
    <w:rPr>
      <w:rFonts w:asciiTheme="majorHAnsi" w:eastAsiaTheme="majorEastAsia" w:hAnsiTheme="majorHAnsi"/>
      <w:color w:val="2F5496" w:themeColor="accent1" w:themeShade="BF"/>
      <w:szCs w:val="21"/>
    </w:rPr>
  </w:style>
  <w:style w:type="paragraph" w:styleId="Heading6">
    <w:name w:val="heading 6"/>
    <w:basedOn w:val="Normal"/>
    <w:next w:val="Normal"/>
    <w:link w:val="Heading6Char"/>
    <w:uiPriority w:val="9"/>
    <w:semiHidden/>
    <w:unhideWhenUsed/>
    <w:qFormat/>
    <w:rsid w:val="005F0A9D"/>
    <w:pPr>
      <w:keepNext/>
      <w:keepLines/>
      <w:numPr>
        <w:ilvl w:val="5"/>
        <w:numId w:val="3"/>
      </w:numPr>
      <w:spacing w:before="40"/>
      <w:outlineLvl w:val="5"/>
    </w:pPr>
    <w:rPr>
      <w:rFonts w:asciiTheme="majorHAnsi" w:eastAsiaTheme="majorEastAsia" w:hAnsiTheme="majorHAnsi"/>
      <w:color w:val="1F3763" w:themeColor="accent1" w:themeShade="7F"/>
      <w:szCs w:val="21"/>
    </w:rPr>
  </w:style>
  <w:style w:type="paragraph" w:styleId="Heading7">
    <w:name w:val="heading 7"/>
    <w:basedOn w:val="Normal"/>
    <w:next w:val="Normal"/>
    <w:link w:val="Heading7Char"/>
    <w:uiPriority w:val="9"/>
    <w:semiHidden/>
    <w:unhideWhenUsed/>
    <w:qFormat/>
    <w:rsid w:val="005F0A9D"/>
    <w:pPr>
      <w:keepNext/>
      <w:keepLines/>
      <w:numPr>
        <w:ilvl w:val="6"/>
        <w:numId w:val="3"/>
      </w:numPr>
      <w:spacing w:before="40"/>
      <w:outlineLvl w:val="6"/>
    </w:pPr>
    <w:rPr>
      <w:rFonts w:asciiTheme="majorHAnsi" w:eastAsiaTheme="majorEastAsia" w:hAnsiTheme="majorHAnsi"/>
      <w:i/>
      <w:iCs/>
      <w:color w:val="1F3763" w:themeColor="accent1" w:themeShade="7F"/>
      <w:szCs w:val="21"/>
    </w:rPr>
  </w:style>
  <w:style w:type="paragraph" w:styleId="Heading8">
    <w:name w:val="heading 8"/>
    <w:basedOn w:val="Normal"/>
    <w:next w:val="Normal"/>
    <w:link w:val="Heading8Char"/>
    <w:uiPriority w:val="9"/>
    <w:semiHidden/>
    <w:unhideWhenUsed/>
    <w:qFormat/>
    <w:rsid w:val="005F0A9D"/>
    <w:pPr>
      <w:keepNext/>
      <w:keepLines/>
      <w:numPr>
        <w:ilvl w:val="7"/>
        <w:numId w:val="3"/>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5F0A9D"/>
    <w:pPr>
      <w:keepNext/>
      <w:keepLines/>
      <w:numPr>
        <w:ilvl w:val="8"/>
        <w:numId w:val="3"/>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FF"/>
    <w:pPr>
      <w:ind w:left="720"/>
      <w:contextualSpacing/>
    </w:pPr>
    <w:rPr>
      <w:szCs w:val="21"/>
    </w:rPr>
  </w:style>
  <w:style w:type="character" w:customStyle="1" w:styleId="Heading1Char">
    <w:name w:val="Heading 1 Char"/>
    <w:basedOn w:val="DefaultParagraphFont"/>
    <w:link w:val="Heading1"/>
    <w:uiPriority w:val="9"/>
    <w:rsid w:val="005F0A9D"/>
    <w:rPr>
      <w:rFonts w:asciiTheme="majorHAnsi" w:eastAsiaTheme="majorEastAsia" w:hAnsiTheme="majorHAnsi" w:cs="Mangal"/>
      <w:color w:val="2F5496" w:themeColor="accent1" w:themeShade="BF"/>
      <w:kern w:val="1"/>
      <w:sz w:val="32"/>
      <w:szCs w:val="29"/>
      <w:lang w:eastAsia="hi-IN" w:bidi="hi-IN"/>
    </w:rPr>
  </w:style>
  <w:style w:type="character" w:customStyle="1" w:styleId="Heading2Char">
    <w:name w:val="Heading 2 Char"/>
    <w:basedOn w:val="DefaultParagraphFont"/>
    <w:link w:val="Heading2"/>
    <w:uiPriority w:val="9"/>
    <w:rsid w:val="005F0A9D"/>
    <w:rPr>
      <w:rFonts w:asciiTheme="majorHAnsi" w:eastAsiaTheme="majorEastAsia" w:hAnsiTheme="majorHAnsi" w:cs="Mangal"/>
      <w:color w:val="2F5496" w:themeColor="accent1" w:themeShade="BF"/>
      <w:kern w:val="1"/>
      <w:sz w:val="26"/>
      <w:szCs w:val="23"/>
      <w:lang w:eastAsia="hi-IN" w:bidi="hi-IN"/>
    </w:rPr>
  </w:style>
  <w:style w:type="character" w:customStyle="1" w:styleId="Heading3Char">
    <w:name w:val="Heading 3 Char"/>
    <w:basedOn w:val="DefaultParagraphFont"/>
    <w:link w:val="Heading3"/>
    <w:uiPriority w:val="9"/>
    <w:rsid w:val="005F0A9D"/>
    <w:rPr>
      <w:rFonts w:asciiTheme="majorHAnsi" w:eastAsiaTheme="majorEastAsia" w:hAnsiTheme="majorHAnsi" w:cs="Mangal"/>
      <w:color w:val="1F3763" w:themeColor="accent1" w:themeShade="7F"/>
      <w:kern w:val="1"/>
      <w:sz w:val="24"/>
      <w:szCs w:val="21"/>
      <w:lang w:eastAsia="hi-IN" w:bidi="hi-IN"/>
    </w:rPr>
  </w:style>
  <w:style w:type="character" w:customStyle="1" w:styleId="Heading4Char">
    <w:name w:val="Heading 4 Char"/>
    <w:basedOn w:val="DefaultParagraphFont"/>
    <w:link w:val="Heading4"/>
    <w:uiPriority w:val="9"/>
    <w:semiHidden/>
    <w:rsid w:val="005F0A9D"/>
    <w:rPr>
      <w:rFonts w:asciiTheme="majorHAnsi" w:eastAsiaTheme="majorEastAsia" w:hAnsiTheme="majorHAnsi" w:cs="Mangal"/>
      <w:i/>
      <w:iCs/>
      <w:color w:val="2F5496"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5F0A9D"/>
    <w:rPr>
      <w:rFonts w:asciiTheme="majorHAnsi" w:eastAsiaTheme="majorEastAsia" w:hAnsiTheme="majorHAnsi" w:cs="Mangal"/>
      <w:color w:val="2F5496"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5F0A9D"/>
    <w:rPr>
      <w:rFonts w:asciiTheme="majorHAnsi" w:eastAsiaTheme="majorEastAsia" w:hAnsiTheme="majorHAnsi" w:cs="Mangal"/>
      <w:color w:val="1F3763"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5F0A9D"/>
    <w:rPr>
      <w:rFonts w:asciiTheme="majorHAnsi" w:eastAsiaTheme="majorEastAsia" w:hAnsiTheme="majorHAnsi" w:cs="Mangal"/>
      <w:i/>
      <w:iCs/>
      <w:color w:val="1F3763"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5F0A9D"/>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5F0A9D"/>
    <w:rPr>
      <w:rFonts w:asciiTheme="majorHAnsi" w:eastAsiaTheme="majorEastAsia" w:hAnsiTheme="majorHAnsi" w:cs="Mangal"/>
      <w:i/>
      <w:iCs/>
      <w:color w:val="272727" w:themeColor="text1" w:themeTint="D8"/>
      <w:kern w:val="1"/>
      <w:sz w:val="21"/>
      <w:szCs w:val="19"/>
      <w:lang w:eastAsia="hi-IN" w:bidi="hi-IN"/>
    </w:rPr>
  </w:style>
  <w:style w:type="paragraph" w:styleId="Header">
    <w:name w:val="header"/>
    <w:basedOn w:val="Normal"/>
    <w:link w:val="HeaderChar"/>
    <w:uiPriority w:val="99"/>
    <w:unhideWhenUsed/>
    <w:rsid w:val="008771DD"/>
    <w:pPr>
      <w:tabs>
        <w:tab w:val="center" w:pos="4513"/>
        <w:tab w:val="right" w:pos="9026"/>
      </w:tabs>
    </w:pPr>
    <w:rPr>
      <w:szCs w:val="21"/>
    </w:rPr>
  </w:style>
  <w:style w:type="character" w:customStyle="1" w:styleId="HeaderChar">
    <w:name w:val="Header Char"/>
    <w:basedOn w:val="DefaultParagraphFont"/>
    <w:link w:val="Header"/>
    <w:uiPriority w:val="99"/>
    <w:rsid w:val="008771D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8771DD"/>
    <w:pPr>
      <w:tabs>
        <w:tab w:val="center" w:pos="4513"/>
        <w:tab w:val="right" w:pos="9026"/>
      </w:tabs>
    </w:pPr>
    <w:rPr>
      <w:szCs w:val="21"/>
    </w:rPr>
  </w:style>
  <w:style w:type="character" w:customStyle="1" w:styleId="FooterChar">
    <w:name w:val="Footer Char"/>
    <w:basedOn w:val="DefaultParagraphFont"/>
    <w:link w:val="Footer"/>
    <w:uiPriority w:val="99"/>
    <w:rsid w:val="008771D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B3BC8A42BC349ACC2925F0F451061" ma:contentTypeVersion="11" ma:contentTypeDescription="Create a new document." ma:contentTypeScope="" ma:versionID="93bc6e7fef0e7cbccba8536d20bf4bdc">
  <xsd:schema xmlns:xsd="http://www.w3.org/2001/XMLSchema" xmlns:xs="http://www.w3.org/2001/XMLSchema" xmlns:p="http://schemas.microsoft.com/office/2006/metadata/properties" xmlns:ns2="c29b5d18-4854-4a98-a19f-11e83e013ad6" xmlns:ns3="5b570447-452d-489b-b86d-2990219fb0cb" targetNamespace="http://schemas.microsoft.com/office/2006/metadata/properties" ma:root="true" ma:fieldsID="fa5dacec6512122bedd44ece46e073e3" ns2:_="" ns3:_="">
    <xsd:import namespace="c29b5d18-4854-4a98-a19f-11e83e013ad6"/>
    <xsd:import namespace="5b570447-452d-489b-b86d-2990219fb0c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b5d18-4854-4a98-a19f-11e83e013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dae2ec0-59af-419b-b079-e1051b5e060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70447-452d-489b-b86d-2990219fb0c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73ae441-a411-4e33-9217-8520daf6ec52}" ma:internalName="TaxCatchAll" ma:showField="CatchAllData" ma:web="5b570447-452d-489b-b86d-2990219fb0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570447-452d-489b-b86d-2990219fb0cb" xsi:nil="true"/>
    <lcf76f155ced4ddcb4097134ff3c332f xmlns="c29b5d18-4854-4a98-a19f-11e83e013a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B9702E-BEBD-45AD-B516-49CBC37F6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b5d18-4854-4a98-a19f-11e83e013ad6"/>
    <ds:schemaRef ds:uri="5b570447-452d-489b-b86d-2990219f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BB0FE8-3B80-4E14-B427-EE8816CD3206}">
  <ds:schemaRefs>
    <ds:schemaRef ds:uri="http://schemas.microsoft.com/sharepoint/v3/contenttype/forms"/>
  </ds:schemaRefs>
</ds:datastoreItem>
</file>

<file path=customXml/itemProps3.xml><?xml version="1.0" encoding="utf-8"?>
<ds:datastoreItem xmlns:ds="http://schemas.openxmlformats.org/officeDocument/2006/customXml" ds:itemID="{9685EB3F-2A9C-4EDC-96F8-71C4353FC5A6}">
  <ds:schemaRefs>
    <ds:schemaRef ds:uri="http://schemas.microsoft.com/office/2006/metadata/properties"/>
    <ds:schemaRef ds:uri="http://schemas.microsoft.com/office/infopath/2007/PartnerControls"/>
    <ds:schemaRef ds:uri="5b570447-452d-489b-b86d-2990219fb0cb"/>
    <ds:schemaRef ds:uri="c29b5d18-4854-4a98-a19f-11e83e013ad6"/>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Arnold</dc:creator>
  <cp:keywords/>
  <dc:description/>
  <cp:lastModifiedBy>Georgia Arnold</cp:lastModifiedBy>
  <cp:revision>96</cp:revision>
  <dcterms:created xsi:type="dcterms:W3CDTF">2022-10-10T20:09:00Z</dcterms:created>
  <dcterms:modified xsi:type="dcterms:W3CDTF">2022-11-09T13:13:00Z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0x0101000DBB3BC8A42BC349ACC2925F0F451061</vt:lpwstr>
  </property>
  <property fmtid="{D5CDD505-2E9C-101B-9397-08002B2CF9AE}" pid="3" name="MediaServiceImageTags">
    <vt:lpwstr/>
  </property>
</Properties>
</file>